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6836172E"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5E77E7">
        <w:rPr>
          <w:rFonts w:ascii="Arial" w:eastAsia="Arial Unicode MS" w:hAnsi="Arial" w:hint="eastAsia"/>
          <w:b/>
          <w:bCs/>
          <w:kern w:val="0"/>
          <w:sz w:val="28"/>
          <w:szCs w:val="28"/>
        </w:rPr>
        <w:t>1</w:t>
      </w:r>
      <w:r w:rsidR="0010175C">
        <w:rPr>
          <w:rFonts w:ascii="Arial" w:eastAsia="Arial Unicode MS" w:hAnsi="Arial"/>
          <w:b/>
          <w:bCs/>
          <w:kern w:val="0"/>
          <w:sz w:val="28"/>
          <w:szCs w:val="28"/>
        </w:rPr>
        <w:t>bis-e</w:t>
      </w:r>
      <w:r w:rsidRPr="002C6C08">
        <w:rPr>
          <w:rFonts w:ascii="Arial" w:eastAsia="Arial Unicode MS" w:hAnsi="Arial"/>
          <w:b/>
          <w:bCs/>
          <w:kern w:val="0"/>
          <w:sz w:val="28"/>
          <w:szCs w:val="28"/>
          <w:lang w:eastAsia="en-US"/>
        </w:rPr>
        <w:tab/>
      </w:r>
      <w:r w:rsidR="00914D9F" w:rsidRPr="00914D9F">
        <w:rPr>
          <w:rFonts w:ascii="Arial" w:eastAsia="Arial Unicode MS" w:hAnsi="Arial"/>
          <w:b/>
          <w:bCs/>
          <w:kern w:val="0"/>
          <w:sz w:val="28"/>
          <w:szCs w:val="28"/>
        </w:rPr>
        <w:t>R2-2303355</w:t>
      </w:r>
    </w:p>
    <w:p w14:paraId="7AC853B0" w14:textId="42758692" w:rsidR="003E16F6" w:rsidRPr="002C6C08" w:rsidRDefault="0010175C"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0175C">
        <w:rPr>
          <w:rFonts w:ascii="Arial" w:eastAsia="Arial Unicode MS" w:hAnsi="Arial"/>
          <w:b/>
          <w:bCs/>
          <w:kern w:val="0"/>
          <w:sz w:val="24"/>
          <w:szCs w:val="20"/>
        </w:rPr>
        <w:t>Electronic meeting</w:t>
      </w:r>
      <w:r w:rsidR="000C4A4F">
        <w:rPr>
          <w:rFonts w:ascii="Arial" w:eastAsia="Arial Unicode MS" w:hAnsi="Arial"/>
          <w:b/>
          <w:bCs/>
          <w:kern w:val="0"/>
          <w:sz w:val="24"/>
          <w:szCs w:val="20"/>
        </w:rPr>
        <w:t xml:space="preserve">, </w:t>
      </w:r>
      <w:r>
        <w:rPr>
          <w:rFonts w:ascii="Arial" w:eastAsia="Arial Unicode MS" w:hAnsi="Arial"/>
          <w:b/>
          <w:bCs/>
          <w:kern w:val="0"/>
          <w:sz w:val="24"/>
          <w:szCs w:val="20"/>
        </w:rPr>
        <w:t xml:space="preserve">17 – 26 </w:t>
      </w:r>
      <w:r w:rsidR="00B86207">
        <w:rPr>
          <w:rFonts w:ascii="Arial" w:eastAsia="Arial Unicode MS" w:hAnsi="Arial"/>
          <w:b/>
          <w:bCs/>
          <w:kern w:val="0"/>
          <w:sz w:val="24"/>
          <w:szCs w:val="20"/>
        </w:rPr>
        <w:t>April</w:t>
      </w:r>
      <w:r>
        <w:rPr>
          <w:rFonts w:ascii="Arial" w:eastAsia="Arial Unicode MS" w:hAnsi="Arial"/>
          <w:b/>
          <w:bCs/>
          <w:kern w:val="0"/>
          <w:sz w:val="24"/>
          <w:szCs w:val="20"/>
        </w:rPr>
        <w:t xml:space="preserve"> 2023</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6E080182"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2100E">
        <w:rPr>
          <w:rFonts w:ascii="Arial" w:eastAsia="Arial Unicode MS" w:hAnsi="Arial" w:cs="Arial"/>
          <w:b/>
          <w:bCs/>
          <w:kern w:val="0"/>
          <w:sz w:val="24"/>
          <w:szCs w:val="20"/>
        </w:rPr>
        <w:t>7</w:t>
      </w:r>
      <w:r w:rsidR="006518EF" w:rsidRPr="006518EF">
        <w:rPr>
          <w:rFonts w:ascii="Arial" w:eastAsia="Arial Unicode MS" w:hAnsi="Arial" w:cs="Arial"/>
          <w:b/>
          <w:bCs/>
          <w:kern w:val="0"/>
          <w:sz w:val="24"/>
          <w:szCs w:val="20"/>
        </w:rPr>
        <w:t>.4.2.2 RRC</w:t>
      </w:r>
    </w:p>
    <w:p w14:paraId="181BBD6A" w14:textId="4E0B09C5"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B0A68">
        <w:rPr>
          <w:rFonts w:ascii="Arial" w:eastAsia="Arial Unicode MS" w:hAnsi="Arial" w:cs="Arial"/>
          <w:b/>
          <w:bCs/>
          <w:kern w:val="0"/>
          <w:sz w:val="24"/>
          <w:szCs w:val="20"/>
        </w:rPr>
        <w:t>D</w:t>
      </w:r>
      <w:r w:rsidR="006B722C">
        <w:rPr>
          <w:rFonts w:ascii="Arial" w:eastAsia="Arial Unicode MS" w:hAnsi="Arial" w:cs="Arial"/>
          <w:b/>
          <w:bCs/>
          <w:kern w:val="0"/>
          <w:sz w:val="24"/>
          <w:szCs w:val="20"/>
        </w:rPr>
        <w:t xml:space="preserve">etails of delta configurations </w:t>
      </w:r>
      <w:r w:rsidR="00C05DB2" w:rsidRPr="00C05DB2">
        <w:rPr>
          <w:rFonts w:ascii="Arial" w:eastAsia="Arial Unicode MS" w:hAnsi="Arial" w:cs="Arial"/>
          <w:b/>
          <w:bCs/>
          <w:kern w:val="0"/>
          <w:sz w:val="24"/>
          <w:szCs w:val="20"/>
        </w:rPr>
        <w:t>in LTM</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1C4E003A" w14:textId="73FD10D0" w:rsidR="00EC27AD" w:rsidRDefault="00570738"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RAN2#121, </w:t>
      </w:r>
      <w:r w:rsidR="00EC27AD">
        <w:rPr>
          <w:rFonts w:ascii="Arial" w:eastAsia="Arial Unicode MS" w:hAnsi="Arial"/>
          <w:kern w:val="0"/>
          <w:sz w:val="20"/>
          <w:szCs w:val="20"/>
        </w:rPr>
        <w:t>there are some important agreements on the delta configuration below</w:t>
      </w:r>
      <w:r w:rsidR="00D7262C">
        <w:rPr>
          <w:rFonts w:ascii="Arial" w:eastAsia="Arial Unicode MS" w:hAnsi="Arial"/>
          <w:kern w:val="0"/>
          <w:sz w:val="20"/>
          <w:szCs w:val="20"/>
        </w:rPr>
        <w:t xml:space="preserve"> [1]</w:t>
      </w:r>
      <w:r w:rsidR="00EC27AD">
        <w:rPr>
          <w:rFonts w:ascii="Arial" w:eastAsia="Arial Unicode MS" w:hAnsi="Arial"/>
          <w:kern w:val="0"/>
          <w:sz w:val="20"/>
          <w:szCs w:val="20"/>
        </w:rPr>
        <w:t>:</w:t>
      </w:r>
    </w:p>
    <w:tbl>
      <w:tblPr>
        <w:tblStyle w:val="aa"/>
        <w:tblW w:w="0" w:type="auto"/>
        <w:tblLook w:val="04A0" w:firstRow="1" w:lastRow="0" w:firstColumn="1" w:lastColumn="0" w:noHBand="0" w:noVBand="1"/>
      </w:tblPr>
      <w:tblGrid>
        <w:gridCol w:w="9629"/>
      </w:tblGrid>
      <w:tr w:rsidR="00570738" w14:paraId="021B3C22" w14:textId="77777777" w:rsidTr="00570738">
        <w:tc>
          <w:tcPr>
            <w:tcW w:w="9629" w:type="dxa"/>
          </w:tcPr>
          <w:p w14:paraId="198F177C" w14:textId="77777777" w:rsidR="00570738" w:rsidRPr="00570738" w:rsidRDefault="00570738" w:rsidP="00570738">
            <w:pPr>
              <w:pStyle w:val="Agreement"/>
            </w:pPr>
            <w:r w:rsidRPr="00570738">
              <w:t>Reference config can be empty</w:t>
            </w:r>
          </w:p>
          <w:p w14:paraId="2184AAB8" w14:textId="77777777" w:rsidR="00570738" w:rsidRPr="00570738" w:rsidRDefault="00570738" w:rsidP="00570738">
            <w:pPr>
              <w:pStyle w:val="Agreement"/>
              <w:rPr>
                <w:lang w:val="en-US"/>
              </w:rPr>
            </w:pPr>
            <w:r w:rsidRPr="00570738">
              <w:rPr>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w:t>
            </w:r>
            <w:r w:rsidRPr="008E769C">
              <w:rPr>
                <w:lang w:val="en-US"/>
              </w:rPr>
              <w:t>FFS Discuss early vs late compliance check.</w:t>
            </w:r>
            <w:r w:rsidRPr="00570738">
              <w:rPr>
                <w:lang w:val="en-US"/>
              </w:rPr>
              <w:t xml:space="preserve"> </w:t>
            </w:r>
          </w:p>
          <w:p w14:paraId="2AC27BFC" w14:textId="43F74FE1" w:rsidR="00570738" w:rsidRPr="00570738" w:rsidRDefault="00570738" w:rsidP="003E16F6">
            <w:pPr>
              <w:pStyle w:val="Agreement"/>
              <w:rPr>
                <w:bCs/>
                <w:lang w:val="en-US"/>
              </w:rPr>
            </w:pPr>
            <w:r w:rsidRPr="00570738">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DA5548">
              <w:rPr>
                <w:bCs/>
                <w:lang w:val="en-US"/>
              </w:rPr>
              <w:t xml:space="preserve">FFS whether we can rely on a modified version of the reconfiguration procedure with </w:t>
            </w:r>
            <w:proofErr w:type="spellStart"/>
            <w:r w:rsidRPr="00DA5548">
              <w:rPr>
                <w:bCs/>
                <w:lang w:val="en-US"/>
              </w:rPr>
              <w:t>fullconfig</w:t>
            </w:r>
            <w:proofErr w:type="spellEnd"/>
            <w:r w:rsidRPr="00DA5548">
              <w:rPr>
                <w:bCs/>
                <w:lang w:val="en-US"/>
              </w:rPr>
              <w:t xml:space="preserve"> flag set. FFS how to make sure the procedures work in case the LTM candidate configuration is a complete configuration.</w:t>
            </w:r>
          </w:p>
        </w:tc>
      </w:tr>
    </w:tbl>
    <w:p w14:paraId="67D7186A" w14:textId="495B4C15" w:rsidR="00570738" w:rsidRDefault="00570738" w:rsidP="003E16F6">
      <w:pPr>
        <w:widowControl/>
        <w:rPr>
          <w:rFonts w:ascii="Arial" w:eastAsia="Arial Unicode MS" w:hAnsi="Arial"/>
          <w:kern w:val="0"/>
          <w:sz w:val="20"/>
          <w:szCs w:val="20"/>
        </w:rPr>
      </w:pPr>
    </w:p>
    <w:p w14:paraId="7AA43F6A" w14:textId="627A160A" w:rsidR="00EC27AD" w:rsidRPr="002C6C08" w:rsidRDefault="00EC27AD"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this contribution, we discuss </w:t>
      </w:r>
      <w:r w:rsidR="00DA5548">
        <w:rPr>
          <w:rFonts w:ascii="Arial" w:eastAsia="Arial Unicode MS" w:hAnsi="Arial"/>
          <w:kern w:val="0"/>
          <w:sz w:val="20"/>
          <w:szCs w:val="20"/>
        </w:rPr>
        <w:t>further details on delta configuration and compliance check.</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0D741845"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3B06D9">
        <w:rPr>
          <w:rFonts w:ascii="Arial" w:hAnsi="Arial"/>
          <w:kern w:val="0"/>
          <w:sz w:val="28"/>
          <w:szCs w:val="20"/>
        </w:rPr>
        <w:t>D</w:t>
      </w:r>
      <w:r w:rsidR="006B722C">
        <w:rPr>
          <w:rFonts w:ascii="Arial" w:hAnsi="Arial"/>
          <w:kern w:val="0"/>
          <w:sz w:val="28"/>
          <w:szCs w:val="20"/>
        </w:rPr>
        <w:t>elta configuration</w:t>
      </w:r>
      <w:r w:rsidR="003B06D9">
        <w:rPr>
          <w:rFonts w:ascii="Arial" w:hAnsi="Arial"/>
          <w:kern w:val="0"/>
          <w:sz w:val="28"/>
          <w:szCs w:val="20"/>
        </w:rPr>
        <w:t xml:space="preserve"> on top of reference configuration</w:t>
      </w:r>
    </w:p>
    <w:p w14:paraId="173AB988" w14:textId="76A89839" w:rsidR="003E16F6" w:rsidRDefault="00B25613" w:rsidP="003E16F6">
      <w:pPr>
        <w:widowControl/>
        <w:spacing w:after="120" w:line="240" w:lineRule="atLeast"/>
        <w:rPr>
          <w:rFonts w:ascii="Arial" w:hAnsi="Arial"/>
          <w:kern w:val="0"/>
          <w:sz w:val="20"/>
          <w:szCs w:val="20"/>
        </w:rPr>
      </w:pPr>
      <w:r>
        <w:rPr>
          <w:rFonts w:ascii="Arial" w:hAnsi="Arial"/>
          <w:kern w:val="0"/>
          <w:sz w:val="20"/>
          <w:szCs w:val="20"/>
        </w:rPr>
        <w:t xml:space="preserve">After the long discussions in </w:t>
      </w:r>
      <w:r w:rsidR="003B06D9">
        <w:rPr>
          <w:rFonts w:ascii="Arial" w:hAnsi="Arial"/>
          <w:kern w:val="0"/>
          <w:sz w:val="20"/>
          <w:szCs w:val="20"/>
        </w:rPr>
        <w:t>the past RAN2 meetings</w:t>
      </w:r>
      <w:r>
        <w:rPr>
          <w:rFonts w:ascii="Arial" w:hAnsi="Arial"/>
          <w:kern w:val="0"/>
          <w:sz w:val="20"/>
          <w:szCs w:val="20"/>
        </w:rPr>
        <w:t xml:space="preserve">, the overview of the delta configuration in LTE has been agreed. </w:t>
      </w:r>
      <w:r w:rsidR="003B06D9">
        <w:rPr>
          <w:rFonts w:ascii="Arial" w:hAnsi="Arial"/>
          <w:kern w:val="0"/>
          <w:sz w:val="20"/>
          <w:szCs w:val="20"/>
        </w:rPr>
        <w:t xml:space="preserve">We discuss further details of delta configuration on top of the reference configuration. According to </w:t>
      </w:r>
      <w:r w:rsidR="004412BA">
        <w:rPr>
          <w:rFonts w:ascii="Arial" w:hAnsi="Arial"/>
          <w:kern w:val="0"/>
          <w:sz w:val="20"/>
          <w:szCs w:val="20"/>
        </w:rPr>
        <w:t>the agreements, we understand the following two cases are possible:</w:t>
      </w:r>
    </w:p>
    <w:p w14:paraId="3CE4B845" w14:textId="613CBF25" w:rsidR="004412BA" w:rsidRPr="00EC0C24" w:rsidRDefault="004412BA" w:rsidP="00EC0C24">
      <w:pPr>
        <w:pStyle w:val="ab"/>
        <w:widowControl/>
        <w:numPr>
          <w:ilvl w:val="0"/>
          <w:numId w:val="3"/>
        </w:numPr>
        <w:spacing w:after="120" w:line="240" w:lineRule="atLeast"/>
        <w:ind w:leftChars="0"/>
        <w:rPr>
          <w:rFonts w:ascii="Arial" w:hAnsi="Arial"/>
          <w:kern w:val="0"/>
          <w:sz w:val="20"/>
          <w:szCs w:val="20"/>
        </w:rPr>
      </w:pPr>
      <w:r w:rsidRPr="00EC0C24">
        <w:rPr>
          <w:rFonts w:ascii="Arial" w:hAnsi="Arial" w:hint="eastAsia"/>
          <w:kern w:val="0"/>
          <w:sz w:val="20"/>
          <w:szCs w:val="20"/>
        </w:rPr>
        <w:t>C</w:t>
      </w:r>
      <w:r w:rsidRPr="00EC0C24">
        <w:rPr>
          <w:rFonts w:ascii="Arial" w:hAnsi="Arial"/>
          <w:kern w:val="0"/>
          <w:sz w:val="20"/>
          <w:szCs w:val="20"/>
        </w:rPr>
        <w:t>ase 1) Reference configuration is the source configuration</w:t>
      </w:r>
      <w:r w:rsidR="000C2D41" w:rsidRPr="00EC0C24">
        <w:rPr>
          <w:rFonts w:ascii="Arial" w:hAnsi="Arial"/>
          <w:kern w:val="0"/>
          <w:sz w:val="20"/>
          <w:szCs w:val="20"/>
        </w:rPr>
        <w:t>.</w:t>
      </w:r>
    </w:p>
    <w:p w14:paraId="2948A495" w14:textId="20C2CBE7" w:rsidR="004412BA" w:rsidRPr="00EC0C24" w:rsidRDefault="004412BA" w:rsidP="00EC0C24">
      <w:pPr>
        <w:pStyle w:val="ab"/>
        <w:widowControl/>
        <w:numPr>
          <w:ilvl w:val="0"/>
          <w:numId w:val="3"/>
        </w:numPr>
        <w:spacing w:after="120" w:line="240" w:lineRule="atLeast"/>
        <w:ind w:leftChars="0"/>
        <w:rPr>
          <w:rFonts w:ascii="Arial" w:hAnsi="Arial"/>
          <w:kern w:val="0"/>
          <w:sz w:val="20"/>
          <w:szCs w:val="20"/>
        </w:rPr>
      </w:pPr>
      <w:r w:rsidRPr="00EC0C24">
        <w:rPr>
          <w:rFonts w:ascii="Arial" w:hAnsi="Arial" w:hint="eastAsia"/>
          <w:kern w:val="0"/>
          <w:sz w:val="20"/>
          <w:szCs w:val="20"/>
        </w:rPr>
        <w:t>C</w:t>
      </w:r>
      <w:r w:rsidRPr="00EC0C24">
        <w:rPr>
          <w:rFonts w:ascii="Arial" w:hAnsi="Arial"/>
          <w:kern w:val="0"/>
          <w:sz w:val="20"/>
          <w:szCs w:val="20"/>
        </w:rPr>
        <w:t>ase 2) Reference configuration is a different configuration provided by the network</w:t>
      </w:r>
      <w:r w:rsidR="000C2D41" w:rsidRPr="00EC0C24">
        <w:rPr>
          <w:rFonts w:ascii="Arial" w:hAnsi="Arial"/>
          <w:kern w:val="0"/>
          <w:sz w:val="20"/>
          <w:szCs w:val="20"/>
        </w:rPr>
        <w:t>.</w:t>
      </w:r>
    </w:p>
    <w:p w14:paraId="7E8BB10B" w14:textId="2685A7DE" w:rsidR="0089277B" w:rsidRPr="004B7A7C" w:rsidRDefault="0089277B" w:rsidP="003E16F6">
      <w:pPr>
        <w:widowControl/>
        <w:spacing w:after="120" w:line="240" w:lineRule="atLeast"/>
        <w:rPr>
          <w:rFonts w:ascii="Arial" w:hAnsi="Arial"/>
          <w:kern w:val="0"/>
          <w:sz w:val="20"/>
          <w:szCs w:val="20"/>
        </w:rPr>
      </w:pPr>
      <w:r>
        <w:rPr>
          <w:rFonts w:ascii="Arial" w:hAnsi="Arial"/>
          <w:kern w:val="0"/>
          <w:sz w:val="20"/>
          <w:szCs w:val="20"/>
        </w:rPr>
        <w:t xml:space="preserve">In case 1), the reference configuration is the source configuration at the time of LTM preparation (i.e. at reception of LTM candidate configurations). </w:t>
      </w:r>
      <w:r w:rsidR="004B7A7C">
        <w:rPr>
          <w:rFonts w:ascii="Arial" w:hAnsi="Arial"/>
          <w:kern w:val="0"/>
          <w:sz w:val="20"/>
          <w:szCs w:val="20"/>
        </w:rPr>
        <w:t xml:space="preserve">Even though the network can provide this to the UE as the reference configuration </w:t>
      </w:r>
      <w:r w:rsidR="00856533">
        <w:rPr>
          <w:rFonts w:ascii="Arial" w:hAnsi="Arial"/>
          <w:kern w:val="0"/>
          <w:sz w:val="20"/>
          <w:szCs w:val="20"/>
        </w:rPr>
        <w:t>like</w:t>
      </w:r>
      <w:r w:rsidR="004B7A7C">
        <w:rPr>
          <w:rFonts w:ascii="Arial" w:hAnsi="Arial"/>
          <w:kern w:val="0"/>
          <w:sz w:val="20"/>
          <w:szCs w:val="20"/>
        </w:rPr>
        <w:t xml:space="preserve"> the case 2), this signalling can be omitted as the UE already has it. it would be important and beneficial to reduce signalling overhead in the LTM, where multiple candidate cell configurations may be sent together to the UE. During the offline discussion </w:t>
      </w:r>
      <w:r w:rsidR="0031502F">
        <w:rPr>
          <w:rFonts w:ascii="Arial" w:hAnsi="Arial"/>
          <w:kern w:val="0"/>
          <w:sz w:val="20"/>
          <w:szCs w:val="20"/>
        </w:rPr>
        <w:t>021</w:t>
      </w:r>
      <w:r w:rsidR="004B7A7C">
        <w:rPr>
          <w:rFonts w:ascii="Arial" w:hAnsi="Arial"/>
          <w:kern w:val="0"/>
          <w:sz w:val="20"/>
          <w:szCs w:val="20"/>
        </w:rPr>
        <w:t xml:space="preserve"> in RAN2#121, there was one example proposed by some company [2], where the network can indicate whether to use the source configuration as the reference configuration. </w:t>
      </w:r>
      <w:r w:rsidR="0094697F">
        <w:rPr>
          <w:rFonts w:ascii="Arial" w:hAnsi="Arial"/>
          <w:kern w:val="0"/>
          <w:sz w:val="20"/>
          <w:szCs w:val="20"/>
        </w:rPr>
        <w:t xml:space="preserve">Upon receiving the indication, the UE stores the source configuration as the reference configuration separately. </w:t>
      </w:r>
      <w:r w:rsidR="004B7A7C">
        <w:rPr>
          <w:rFonts w:ascii="Arial" w:hAnsi="Arial"/>
          <w:kern w:val="0"/>
          <w:sz w:val="20"/>
          <w:szCs w:val="20"/>
        </w:rPr>
        <w:t xml:space="preserve">We assume it is </w:t>
      </w:r>
      <w:r w:rsidR="008072C3">
        <w:rPr>
          <w:rFonts w:ascii="Arial" w:hAnsi="Arial"/>
          <w:kern w:val="0"/>
          <w:sz w:val="20"/>
          <w:szCs w:val="20"/>
        </w:rPr>
        <w:t xml:space="preserve">the </w:t>
      </w:r>
      <w:r w:rsidR="004B7A7C">
        <w:rPr>
          <w:rFonts w:ascii="Arial" w:hAnsi="Arial"/>
          <w:kern w:val="0"/>
          <w:sz w:val="20"/>
          <w:szCs w:val="20"/>
        </w:rPr>
        <w:t>feasible solution.</w:t>
      </w:r>
    </w:p>
    <w:p w14:paraId="06CB5ED7" w14:textId="7ADD8D13"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31502F">
        <w:rPr>
          <w:rFonts w:ascii="Arial" w:hAnsi="Arial"/>
          <w:b/>
          <w:kern w:val="0"/>
          <w:sz w:val="20"/>
          <w:szCs w:val="20"/>
        </w:rPr>
        <w:t>RAN2 to confirm that the reference configuration can be either the source configuration or a different configuration.</w:t>
      </w:r>
    </w:p>
    <w:p w14:paraId="06BF0001" w14:textId="0A945702" w:rsidR="0031502F" w:rsidRPr="002C6C08" w:rsidRDefault="0031502F" w:rsidP="0031502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agree that if the reference configuration is the source configuration, the network can send an indication to do so, instead of sending the reference configuration</w:t>
      </w:r>
      <w:r w:rsidR="003C3BE8">
        <w:rPr>
          <w:rFonts w:ascii="Arial" w:hAnsi="Arial"/>
          <w:b/>
          <w:kern w:val="0"/>
          <w:sz w:val="20"/>
          <w:szCs w:val="20"/>
        </w:rPr>
        <w:t xml:space="preserve"> (i.e. omit explicit signalling of reference configuration)</w:t>
      </w:r>
    </w:p>
    <w:p w14:paraId="4302157A" w14:textId="714188F4" w:rsidR="003E16F6" w:rsidRDefault="003E16F6" w:rsidP="003E16F6">
      <w:pPr>
        <w:widowControl/>
        <w:spacing w:after="120" w:line="240" w:lineRule="atLeast"/>
        <w:rPr>
          <w:rFonts w:ascii="Arial" w:hAnsi="Arial"/>
          <w:kern w:val="0"/>
          <w:sz w:val="20"/>
          <w:szCs w:val="20"/>
        </w:rPr>
      </w:pPr>
    </w:p>
    <w:p w14:paraId="7A2FF2D8" w14:textId="2CC098DD" w:rsidR="0031502F" w:rsidRPr="0031502F" w:rsidRDefault="0031502F" w:rsidP="003E16F6">
      <w:pPr>
        <w:widowControl/>
        <w:spacing w:after="120" w:line="240" w:lineRule="atLeast"/>
        <w:rPr>
          <w:rFonts w:ascii="Arial" w:hAnsi="Arial"/>
          <w:kern w:val="0"/>
          <w:sz w:val="20"/>
          <w:szCs w:val="20"/>
        </w:rPr>
      </w:pPr>
      <w:r>
        <w:rPr>
          <w:rFonts w:ascii="Arial" w:hAnsi="Arial" w:hint="eastAsia"/>
          <w:kern w:val="0"/>
          <w:sz w:val="20"/>
          <w:szCs w:val="20"/>
        </w:rPr>
        <w:t>N</w:t>
      </w:r>
      <w:r>
        <w:rPr>
          <w:rFonts w:ascii="Arial" w:hAnsi="Arial"/>
          <w:kern w:val="0"/>
          <w:sz w:val="20"/>
          <w:szCs w:val="20"/>
        </w:rPr>
        <w:t xml:space="preserve">ext, we discuss possibility of multiple reference configurations which was proposed from some companies in the same offline discussion [2]. We understand the intention </w:t>
      </w:r>
      <w:r w:rsidR="00EE18D2">
        <w:rPr>
          <w:rFonts w:ascii="Arial" w:hAnsi="Arial"/>
          <w:kern w:val="0"/>
          <w:sz w:val="20"/>
          <w:szCs w:val="20"/>
        </w:rPr>
        <w:t>would be</w:t>
      </w:r>
      <w:r>
        <w:rPr>
          <w:rFonts w:ascii="Arial" w:hAnsi="Arial"/>
          <w:kern w:val="0"/>
          <w:sz w:val="20"/>
          <w:szCs w:val="20"/>
        </w:rPr>
        <w:t xml:space="preserve"> </w:t>
      </w:r>
      <w:r w:rsidR="00EE18D2">
        <w:rPr>
          <w:rFonts w:ascii="Arial" w:hAnsi="Arial"/>
          <w:kern w:val="0"/>
          <w:sz w:val="20"/>
          <w:szCs w:val="20"/>
        </w:rPr>
        <w:t xml:space="preserve">to provide a reference configuration by </w:t>
      </w:r>
      <w:r w:rsidR="00EE18D2">
        <w:rPr>
          <w:rFonts w:ascii="Arial" w:hAnsi="Arial"/>
          <w:kern w:val="0"/>
          <w:sz w:val="20"/>
          <w:szCs w:val="20"/>
        </w:rPr>
        <w:lastRenderedPageBreak/>
        <w:t>each DU, i.e. source DU and candidate DU(s). So, before discussing multiple or single, RAN2 should discuss and confirm who provide a reference configuration.</w:t>
      </w:r>
    </w:p>
    <w:p w14:paraId="2BFE21BA" w14:textId="2CCCA5E3" w:rsidR="0031502F" w:rsidRDefault="00A76209" w:rsidP="003E16F6">
      <w:pPr>
        <w:widowControl/>
        <w:spacing w:after="120" w:line="240" w:lineRule="atLeast"/>
        <w:rPr>
          <w:rFonts w:ascii="Arial" w:hAnsi="Arial"/>
          <w:kern w:val="0"/>
          <w:sz w:val="20"/>
          <w:szCs w:val="20"/>
        </w:rPr>
      </w:pPr>
      <w:r>
        <w:rPr>
          <w:rFonts w:ascii="Arial" w:hAnsi="Arial"/>
          <w:kern w:val="0"/>
          <w:sz w:val="20"/>
          <w:szCs w:val="20"/>
        </w:rPr>
        <w:t xml:space="preserve">If LTM candidate cells are prepared for cells under the source DU (i.e. everything done as intra-DU LTM), there is no </w:t>
      </w:r>
      <w:r w:rsidR="009C022B">
        <w:rPr>
          <w:rFonts w:ascii="Arial" w:hAnsi="Arial"/>
          <w:kern w:val="0"/>
          <w:sz w:val="20"/>
          <w:szCs w:val="20"/>
        </w:rPr>
        <w:t>real</w:t>
      </w:r>
      <w:r>
        <w:rPr>
          <w:rFonts w:ascii="Arial" w:hAnsi="Arial"/>
          <w:kern w:val="0"/>
          <w:sz w:val="20"/>
          <w:szCs w:val="20"/>
        </w:rPr>
        <w:t xml:space="preserve"> need to provide multiple reference configuration by the source DU. If LTM candidates prepared by a candidate DU(s) as well, multiple reference configuration may be assumed. </w:t>
      </w:r>
      <w:r w:rsidR="009C022B">
        <w:rPr>
          <w:rFonts w:ascii="Arial" w:hAnsi="Arial"/>
          <w:kern w:val="0"/>
          <w:sz w:val="20"/>
          <w:szCs w:val="20"/>
        </w:rPr>
        <w:t>However, in other types of mobility (e.g. legacy HO, CHO</w:t>
      </w:r>
      <w:r w:rsidR="009C022B" w:rsidRPr="009C022B">
        <w:rPr>
          <w:rFonts w:ascii="Arial" w:hAnsi="Arial"/>
          <w:kern w:val="0"/>
          <w:sz w:val="20"/>
          <w:szCs w:val="20"/>
        </w:rPr>
        <w:t xml:space="preserve"> </w:t>
      </w:r>
      <w:r w:rsidR="009C022B">
        <w:rPr>
          <w:rFonts w:ascii="Arial" w:hAnsi="Arial"/>
          <w:kern w:val="0"/>
          <w:sz w:val="20"/>
          <w:szCs w:val="20"/>
        </w:rPr>
        <w:t>regardless of intra-DU or inter-DU), the delta configuration is performed only on top of source configuration and there is no other choice for target node except for full configuration. Therefore, w</w:t>
      </w:r>
      <w:r>
        <w:rPr>
          <w:rFonts w:ascii="Arial" w:hAnsi="Arial"/>
          <w:kern w:val="0"/>
          <w:sz w:val="20"/>
          <w:szCs w:val="20"/>
        </w:rPr>
        <w:t>e are wondering if such flexibility</w:t>
      </w:r>
      <w:r w:rsidR="009C022B">
        <w:rPr>
          <w:rFonts w:ascii="Arial" w:hAnsi="Arial"/>
          <w:kern w:val="0"/>
          <w:sz w:val="20"/>
          <w:szCs w:val="20"/>
        </w:rPr>
        <w:t xml:space="preserve"> in the inter-DU LTM</w:t>
      </w:r>
      <w:r>
        <w:rPr>
          <w:rFonts w:ascii="Arial" w:hAnsi="Arial"/>
          <w:kern w:val="0"/>
          <w:sz w:val="20"/>
          <w:szCs w:val="20"/>
        </w:rPr>
        <w:t xml:space="preserve"> can be justified with considering a trade-off between the signalling overhead and the expected gains.</w:t>
      </w:r>
    </w:p>
    <w:p w14:paraId="447FD6D5" w14:textId="3ECE35AB" w:rsidR="009C022B" w:rsidRPr="002C6C08" w:rsidRDefault="009C022B" w:rsidP="009C022B">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 xml:space="preserve">RAN2 to agree that there is </w:t>
      </w:r>
      <w:r w:rsidR="0006743E">
        <w:rPr>
          <w:rFonts w:ascii="Arial" w:hAnsi="Arial"/>
          <w:b/>
          <w:kern w:val="0"/>
          <w:sz w:val="20"/>
          <w:szCs w:val="20"/>
        </w:rPr>
        <w:t>at most</w:t>
      </w:r>
      <w:r>
        <w:rPr>
          <w:rFonts w:ascii="Arial" w:hAnsi="Arial"/>
          <w:b/>
          <w:kern w:val="0"/>
          <w:sz w:val="20"/>
          <w:szCs w:val="20"/>
        </w:rPr>
        <w:t xml:space="preserve"> one reference configuration in </w:t>
      </w:r>
      <w:r w:rsidR="00C148D6">
        <w:rPr>
          <w:rFonts w:ascii="Arial" w:hAnsi="Arial"/>
          <w:b/>
          <w:kern w:val="0"/>
          <w:sz w:val="20"/>
          <w:szCs w:val="20"/>
        </w:rPr>
        <w:t xml:space="preserve">intra-DU </w:t>
      </w:r>
      <w:r>
        <w:rPr>
          <w:rFonts w:ascii="Arial" w:hAnsi="Arial"/>
          <w:b/>
          <w:kern w:val="0"/>
          <w:sz w:val="20"/>
          <w:szCs w:val="20"/>
        </w:rPr>
        <w:t>LTM.</w:t>
      </w:r>
    </w:p>
    <w:p w14:paraId="74054EB7" w14:textId="4CF643E5" w:rsidR="00C148D6" w:rsidRPr="002C6C08" w:rsidRDefault="00C148D6" w:rsidP="00C148D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RAN2 to discuss whether multiple reference configurations can be configured in inter-DU LTM with restriction that there is at most one per DU.</w:t>
      </w:r>
    </w:p>
    <w:p w14:paraId="66E7DE2D" w14:textId="19C1484F" w:rsidR="003E16F6" w:rsidRPr="00C148D6" w:rsidRDefault="003E16F6" w:rsidP="003E16F6">
      <w:pPr>
        <w:widowControl/>
        <w:spacing w:after="120" w:line="240" w:lineRule="atLeast"/>
        <w:rPr>
          <w:rFonts w:ascii="Arial" w:hAnsi="Arial"/>
          <w:kern w:val="0"/>
          <w:sz w:val="20"/>
          <w:szCs w:val="20"/>
        </w:rPr>
      </w:pPr>
    </w:p>
    <w:p w14:paraId="1F511325" w14:textId="38201C70" w:rsidR="006B722C" w:rsidRPr="002C6C08" w:rsidRDefault="006B722C" w:rsidP="006B722C">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sidR="00A9058E">
        <w:rPr>
          <w:rFonts w:ascii="Arial" w:hAnsi="Arial"/>
          <w:kern w:val="0"/>
          <w:sz w:val="28"/>
          <w:szCs w:val="20"/>
        </w:rPr>
        <w:t>Decoding and compliance check</w:t>
      </w:r>
    </w:p>
    <w:p w14:paraId="14415467" w14:textId="4F755779" w:rsidR="0064413F" w:rsidRDefault="0064413F" w:rsidP="0064413F">
      <w:pPr>
        <w:widowControl/>
        <w:spacing w:after="120" w:line="240" w:lineRule="atLeast"/>
        <w:rPr>
          <w:rFonts w:ascii="Arial" w:hAnsi="Arial"/>
          <w:kern w:val="0"/>
          <w:sz w:val="20"/>
          <w:szCs w:val="20"/>
        </w:rPr>
      </w:pPr>
      <w:r>
        <w:rPr>
          <w:rFonts w:ascii="Arial" w:hAnsi="Arial"/>
          <w:kern w:val="0"/>
          <w:sz w:val="20"/>
          <w:szCs w:val="20"/>
        </w:rPr>
        <w:t>In RAN2#119bis-e, it was discussed whether</w:t>
      </w:r>
      <w:r w:rsidRPr="007D5BAB">
        <w:rPr>
          <w:rFonts w:ascii="Arial" w:hAnsi="Arial"/>
          <w:kern w:val="0"/>
          <w:sz w:val="20"/>
          <w:szCs w:val="20"/>
        </w:rPr>
        <w:t xml:space="preserve"> ASN.1 decoding and validity/compliance check of candidate cell configuration are performed upon reception of the can</w:t>
      </w:r>
      <w:r>
        <w:rPr>
          <w:rFonts w:ascii="Arial" w:hAnsi="Arial"/>
          <w:kern w:val="0"/>
          <w:sz w:val="20"/>
          <w:szCs w:val="20"/>
        </w:rPr>
        <w:t>didate cells configuration, which remain</w:t>
      </w:r>
      <w:r w:rsidR="007F6B8F">
        <w:rPr>
          <w:rFonts w:ascii="Arial" w:hAnsi="Arial"/>
          <w:kern w:val="0"/>
          <w:sz w:val="20"/>
          <w:szCs w:val="20"/>
        </w:rPr>
        <w:t>ed</w:t>
      </w:r>
      <w:r>
        <w:rPr>
          <w:rFonts w:ascii="Arial" w:hAnsi="Arial"/>
          <w:kern w:val="0"/>
          <w:sz w:val="20"/>
          <w:szCs w:val="20"/>
        </w:rPr>
        <w:t xml:space="preserve"> as FFS.</w:t>
      </w:r>
      <w:r w:rsidR="00A9058E">
        <w:rPr>
          <w:rFonts w:ascii="Arial" w:hAnsi="Arial"/>
          <w:kern w:val="0"/>
          <w:sz w:val="20"/>
          <w:szCs w:val="20"/>
        </w:rPr>
        <w:t xml:space="preserve"> </w:t>
      </w:r>
      <w:r>
        <w:rPr>
          <w:rFonts w:ascii="Arial" w:hAnsi="Arial" w:hint="eastAsia"/>
          <w:kern w:val="0"/>
          <w:sz w:val="20"/>
          <w:szCs w:val="20"/>
        </w:rPr>
        <w:t>F</w:t>
      </w:r>
      <w:r>
        <w:rPr>
          <w:rFonts w:ascii="Arial" w:hAnsi="Arial"/>
          <w:kern w:val="0"/>
          <w:sz w:val="20"/>
          <w:szCs w:val="20"/>
        </w:rPr>
        <w:t xml:space="preserve">urther in RAN2#121, </w:t>
      </w:r>
      <w:r w:rsidR="00A9058E">
        <w:rPr>
          <w:rFonts w:ascii="Arial" w:hAnsi="Arial" w:hint="eastAsia"/>
          <w:kern w:val="0"/>
          <w:sz w:val="20"/>
          <w:szCs w:val="20"/>
        </w:rPr>
        <w:t>t</w:t>
      </w:r>
      <w:r w:rsidR="00A9058E">
        <w:rPr>
          <w:rFonts w:ascii="Arial" w:hAnsi="Arial"/>
          <w:kern w:val="0"/>
          <w:sz w:val="20"/>
          <w:szCs w:val="20"/>
        </w:rPr>
        <w:t xml:space="preserve">he detail UE processing </w:t>
      </w:r>
      <w:r w:rsidR="008A65B6">
        <w:rPr>
          <w:rFonts w:ascii="Arial" w:hAnsi="Arial"/>
          <w:kern w:val="0"/>
          <w:sz w:val="20"/>
          <w:szCs w:val="20"/>
        </w:rPr>
        <w:t xml:space="preserve">for delta configuration </w:t>
      </w:r>
      <w:r w:rsidR="00A9058E">
        <w:rPr>
          <w:rFonts w:ascii="Arial" w:hAnsi="Arial"/>
          <w:kern w:val="0"/>
          <w:sz w:val="20"/>
          <w:szCs w:val="20"/>
        </w:rPr>
        <w:t xml:space="preserve">has been agreed with </w:t>
      </w:r>
      <w:r w:rsidR="007F6B8F">
        <w:rPr>
          <w:rFonts w:ascii="Arial" w:hAnsi="Arial"/>
          <w:kern w:val="0"/>
          <w:sz w:val="20"/>
          <w:szCs w:val="20"/>
        </w:rPr>
        <w:t xml:space="preserve">one </w:t>
      </w:r>
      <w:r w:rsidR="00A9058E">
        <w:rPr>
          <w:rFonts w:ascii="Arial" w:hAnsi="Arial"/>
          <w:kern w:val="0"/>
          <w:sz w:val="20"/>
          <w:szCs w:val="20"/>
        </w:rPr>
        <w:t>FFS for compliance check [1].</w:t>
      </w:r>
    </w:p>
    <w:p w14:paraId="1C21E903" w14:textId="77777777" w:rsidR="0064413F" w:rsidRPr="00706A42" w:rsidRDefault="0064413F" w:rsidP="0064413F">
      <w:pPr>
        <w:pStyle w:val="Agreement"/>
        <w:tabs>
          <w:tab w:val="clear" w:pos="360"/>
          <w:tab w:val="num" w:pos="1619"/>
        </w:tabs>
        <w:ind w:leftChars="168" w:left="713"/>
        <w:rPr>
          <w:sz w:val="18"/>
          <w:szCs w:val="22"/>
          <w:lang w:val="en-US"/>
        </w:rPr>
      </w:pPr>
      <w:r w:rsidRPr="00706A42">
        <w:rPr>
          <w:sz w:val="18"/>
          <w:szCs w:val="22"/>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w:t>
      </w:r>
      <w:r w:rsidRPr="00706A42">
        <w:rPr>
          <w:sz w:val="18"/>
          <w:szCs w:val="22"/>
          <w:highlight w:val="yellow"/>
          <w:lang w:val="en-US"/>
        </w:rPr>
        <w:t>FFS Discuss early vs late compliance check.</w:t>
      </w:r>
      <w:r w:rsidRPr="00706A42">
        <w:rPr>
          <w:sz w:val="18"/>
          <w:szCs w:val="22"/>
          <w:lang w:val="en-US"/>
        </w:rPr>
        <w:t xml:space="preserve"> </w:t>
      </w:r>
    </w:p>
    <w:p w14:paraId="5EB61CED" w14:textId="2D63DFCB" w:rsidR="0064413F" w:rsidRDefault="0064413F" w:rsidP="0064413F">
      <w:pPr>
        <w:widowControl/>
        <w:spacing w:after="120" w:line="240" w:lineRule="atLeast"/>
        <w:rPr>
          <w:rFonts w:ascii="Arial" w:hAnsi="Arial"/>
          <w:kern w:val="0"/>
          <w:sz w:val="20"/>
          <w:szCs w:val="20"/>
        </w:rPr>
      </w:pPr>
    </w:p>
    <w:p w14:paraId="6B8D3FE4" w14:textId="4B737EB7" w:rsidR="007F6B8F" w:rsidRDefault="007F6B8F" w:rsidP="0064413F">
      <w:pPr>
        <w:widowControl/>
        <w:spacing w:after="120" w:line="240" w:lineRule="atLeast"/>
        <w:rPr>
          <w:rFonts w:ascii="Arial" w:hAnsi="Arial"/>
          <w:kern w:val="0"/>
          <w:sz w:val="20"/>
          <w:szCs w:val="20"/>
        </w:rPr>
      </w:pPr>
      <w:r>
        <w:rPr>
          <w:rFonts w:ascii="Arial" w:hAnsi="Arial" w:hint="eastAsia"/>
          <w:kern w:val="0"/>
          <w:sz w:val="20"/>
          <w:szCs w:val="20"/>
        </w:rPr>
        <w:t>W</w:t>
      </w:r>
      <w:r>
        <w:rPr>
          <w:rFonts w:ascii="Arial" w:hAnsi="Arial"/>
          <w:kern w:val="0"/>
          <w:sz w:val="20"/>
          <w:szCs w:val="20"/>
        </w:rPr>
        <w:t>e understand that allowing the UE implementation to postpone forming a complete candidate configuration does not mean to postpone the compliance check as well and thus the corresponding FFS remains.</w:t>
      </w:r>
    </w:p>
    <w:p w14:paraId="294FAFD0" w14:textId="00059C97" w:rsidR="0064413F" w:rsidRPr="002C6C08" w:rsidRDefault="0064413F" w:rsidP="0064413F">
      <w:pPr>
        <w:widowControl/>
        <w:spacing w:after="120" w:line="240" w:lineRule="atLeast"/>
        <w:rPr>
          <w:rFonts w:ascii="Arial" w:hAnsi="Arial"/>
          <w:kern w:val="0"/>
          <w:sz w:val="20"/>
          <w:szCs w:val="20"/>
        </w:rPr>
      </w:pPr>
      <w:r>
        <w:rPr>
          <w:rFonts w:ascii="Arial" w:hAnsi="Arial"/>
          <w:kern w:val="0"/>
          <w:sz w:val="20"/>
          <w:szCs w:val="20"/>
        </w:rPr>
        <w:t xml:space="preserve">The point here is that if we follow the conditional mobility in Rel-16/17, it is up to UE implementation exactly when </w:t>
      </w:r>
      <w:r w:rsidR="007F6B8F">
        <w:rPr>
          <w:rFonts w:ascii="Arial" w:hAnsi="Arial"/>
          <w:kern w:val="0"/>
          <w:sz w:val="20"/>
          <w:szCs w:val="20"/>
        </w:rPr>
        <w:t>the compliance check</w:t>
      </w:r>
      <w:r>
        <w:rPr>
          <w:rFonts w:ascii="Arial" w:hAnsi="Arial"/>
          <w:kern w:val="0"/>
          <w:sz w:val="20"/>
          <w:szCs w:val="20"/>
        </w:rPr>
        <w:t xml:space="preserve"> is performed. The reason was to avoid unnecessary failure indication. However, the LTM is intended only intra-CU scenarios and it is/should be much less possibility to (e.g.) excess UE capabilities. In addition, the intention behind the LTM is to extremely reduce mobility interruption. Therefore, if the possible latency reduction can be expected, RAN2 should </w:t>
      </w:r>
      <w:r w:rsidR="007F6B8F">
        <w:rPr>
          <w:rFonts w:ascii="Arial" w:hAnsi="Arial"/>
          <w:kern w:val="0"/>
          <w:sz w:val="20"/>
          <w:szCs w:val="20"/>
        </w:rPr>
        <w:t xml:space="preserve">agree to perform </w:t>
      </w:r>
      <w:r w:rsidRPr="007D5BAB">
        <w:rPr>
          <w:rFonts w:ascii="Arial" w:hAnsi="Arial"/>
          <w:kern w:val="0"/>
          <w:sz w:val="20"/>
          <w:szCs w:val="20"/>
        </w:rPr>
        <w:t>compliance check of candidate cell configuration upon reception of the can</w:t>
      </w:r>
      <w:r>
        <w:rPr>
          <w:rFonts w:ascii="Arial" w:hAnsi="Arial"/>
          <w:kern w:val="0"/>
          <w:sz w:val="20"/>
          <w:szCs w:val="20"/>
        </w:rPr>
        <w:t>didate cells configuration.</w:t>
      </w:r>
    </w:p>
    <w:p w14:paraId="71188179" w14:textId="30A852D6" w:rsidR="0064413F" w:rsidRPr="002C6C08" w:rsidRDefault="0064413F" w:rsidP="0064413F">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135F76">
        <w:rPr>
          <w:rFonts w:ascii="Arial" w:hAnsi="Arial"/>
          <w:b/>
          <w:kern w:val="0"/>
          <w:sz w:val="20"/>
          <w:szCs w:val="20"/>
        </w:rPr>
        <w:t>5</w:t>
      </w:r>
      <w:r>
        <w:rPr>
          <w:rFonts w:ascii="Arial" w:hAnsi="Arial" w:hint="eastAsia"/>
          <w:b/>
          <w:kern w:val="0"/>
          <w:sz w:val="20"/>
          <w:szCs w:val="20"/>
        </w:rPr>
        <w:t xml:space="preserve">: </w:t>
      </w:r>
      <w:r>
        <w:rPr>
          <w:rFonts w:ascii="Arial" w:hAnsi="Arial"/>
          <w:b/>
          <w:kern w:val="0"/>
          <w:sz w:val="20"/>
          <w:szCs w:val="20"/>
        </w:rPr>
        <w:t xml:space="preserve">RAN2 to agree that </w:t>
      </w:r>
      <w:r w:rsidR="007F6B8F">
        <w:rPr>
          <w:rFonts w:ascii="Arial" w:hAnsi="Arial"/>
          <w:b/>
          <w:kern w:val="0"/>
          <w:sz w:val="20"/>
          <w:szCs w:val="20"/>
        </w:rPr>
        <w:t xml:space="preserve">the </w:t>
      </w:r>
      <w:r w:rsidRPr="00EA7370">
        <w:rPr>
          <w:rFonts w:ascii="Arial" w:hAnsi="Arial"/>
          <w:b/>
          <w:kern w:val="0"/>
          <w:sz w:val="20"/>
          <w:szCs w:val="20"/>
        </w:rPr>
        <w:t xml:space="preserve">compliance check of candidate cell configuration </w:t>
      </w:r>
      <w:r w:rsidR="007F6B8F">
        <w:rPr>
          <w:rFonts w:ascii="Arial" w:hAnsi="Arial"/>
          <w:b/>
          <w:kern w:val="0"/>
          <w:sz w:val="20"/>
          <w:szCs w:val="20"/>
        </w:rPr>
        <w:t>is</w:t>
      </w:r>
      <w:r w:rsidRPr="00EA7370">
        <w:rPr>
          <w:rFonts w:ascii="Arial" w:hAnsi="Arial"/>
          <w:b/>
          <w:kern w:val="0"/>
          <w:sz w:val="20"/>
          <w:szCs w:val="20"/>
        </w:rPr>
        <w:t xml:space="preserve"> performed upon reception of the candidate cells configuration</w:t>
      </w:r>
      <w:r>
        <w:rPr>
          <w:rFonts w:ascii="Arial" w:hAnsi="Arial"/>
          <w:b/>
          <w:kern w:val="0"/>
          <w:sz w:val="20"/>
          <w:szCs w:val="20"/>
        </w:rPr>
        <w:t>.</w:t>
      </w:r>
    </w:p>
    <w:p w14:paraId="74092EB0" w14:textId="77777777" w:rsidR="006B722C" w:rsidRPr="002C6C08" w:rsidRDefault="006B722C"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54548BFE"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E625B2">
        <w:rPr>
          <w:rFonts w:ascii="Arial" w:eastAsia="Arial Unicode MS" w:hAnsi="Arial"/>
          <w:kern w:val="0"/>
          <w:sz w:val="20"/>
          <w:szCs w:val="20"/>
        </w:rPr>
        <w:t>further details on delta configuration and compliance check</w:t>
      </w:r>
      <w:r w:rsidRPr="002C6C08">
        <w:rPr>
          <w:rFonts w:ascii="Arial" w:eastAsia="Arial Unicode MS" w:hAnsi="Arial" w:hint="eastAsia"/>
          <w:kern w:val="0"/>
          <w:sz w:val="20"/>
          <w:szCs w:val="20"/>
        </w:rPr>
        <w:t>.</w:t>
      </w:r>
      <w:r w:rsidR="00E625B2">
        <w:rPr>
          <w:rFonts w:ascii="Arial" w:eastAsia="Arial Unicode MS" w:hAnsi="Arial"/>
          <w:kern w:val="0"/>
          <w:sz w:val="20"/>
          <w:szCs w:val="20"/>
        </w:rPr>
        <w:t xml:space="preserve"> We made the following proposals.</w:t>
      </w:r>
    </w:p>
    <w:p w14:paraId="683B3F14" w14:textId="77777777" w:rsidR="003E16F6" w:rsidRPr="002C6C08" w:rsidRDefault="003E16F6" w:rsidP="003E16F6">
      <w:pPr>
        <w:widowControl/>
        <w:spacing w:line="240" w:lineRule="atLeast"/>
        <w:rPr>
          <w:rFonts w:ascii="Arial" w:eastAsia="Arial Unicode MS" w:hAnsi="Arial"/>
          <w:kern w:val="0"/>
          <w:sz w:val="20"/>
          <w:szCs w:val="20"/>
        </w:rPr>
      </w:pPr>
    </w:p>
    <w:p w14:paraId="193899E2" w14:textId="77777777" w:rsidR="00914D9F" w:rsidRPr="002C6C08" w:rsidRDefault="00914D9F" w:rsidP="00914D9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confirm that the reference configuration can be either the source configuration or a different configuration.</w:t>
      </w:r>
    </w:p>
    <w:p w14:paraId="421896FC" w14:textId="4DABF2BE" w:rsidR="00914D9F" w:rsidRPr="00914D9F" w:rsidRDefault="00914D9F" w:rsidP="008D6847">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agree that if the reference configuration is the source configuration, the network can send an indication to do so, instead of sending the reference configuration (i.e. omit explicit signalling of reference configuration)</w:t>
      </w:r>
    </w:p>
    <w:p w14:paraId="6958F707" w14:textId="77777777" w:rsidR="00914D9F" w:rsidRPr="002C6C08" w:rsidRDefault="00914D9F" w:rsidP="00914D9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agree that there is at most one reference configuration in intra-DU LTM.</w:t>
      </w:r>
    </w:p>
    <w:p w14:paraId="54E29B61" w14:textId="6FAA826E" w:rsidR="00914D9F" w:rsidRPr="00914D9F" w:rsidRDefault="00914D9F" w:rsidP="008D6847">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sidRPr="002C6C08">
        <w:rPr>
          <w:rFonts w:ascii="Arial" w:hAnsi="Arial" w:hint="eastAsia"/>
          <w:b/>
          <w:kern w:val="0"/>
          <w:sz w:val="20"/>
          <w:szCs w:val="20"/>
        </w:rPr>
        <w:t xml:space="preserve">: </w:t>
      </w:r>
      <w:r>
        <w:rPr>
          <w:rFonts w:ascii="Arial" w:hAnsi="Arial"/>
          <w:b/>
          <w:kern w:val="0"/>
          <w:sz w:val="20"/>
          <w:szCs w:val="20"/>
        </w:rPr>
        <w:t>RAN2 to discuss whether multiple reference configurations can be configured in inter-DU LTM with restriction that there is at most one per DU.</w:t>
      </w:r>
    </w:p>
    <w:p w14:paraId="337C1BAA" w14:textId="77777777" w:rsidR="00914D9F" w:rsidRPr="002C6C08" w:rsidRDefault="00914D9F" w:rsidP="00914D9F">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5</w:t>
      </w:r>
      <w:r>
        <w:rPr>
          <w:rFonts w:ascii="Arial" w:hAnsi="Arial" w:hint="eastAsia"/>
          <w:b/>
          <w:kern w:val="0"/>
          <w:sz w:val="20"/>
          <w:szCs w:val="20"/>
        </w:rPr>
        <w:t xml:space="preserve">: </w:t>
      </w:r>
      <w:r>
        <w:rPr>
          <w:rFonts w:ascii="Arial" w:hAnsi="Arial"/>
          <w:b/>
          <w:kern w:val="0"/>
          <w:sz w:val="20"/>
          <w:szCs w:val="20"/>
        </w:rPr>
        <w:t xml:space="preserve">RAN2 to agree that the </w:t>
      </w:r>
      <w:r w:rsidRPr="00EA7370">
        <w:rPr>
          <w:rFonts w:ascii="Arial" w:hAnsi="Arial"/>
          <w:b/>
          <w:kern w:val="0"/>
          <w:sz w:val="20"/>
          <w:szCs w:val="20"/>
        </w:rPr>
        <w:t xml:space="preserve">compliance check of candidate cell configuration </w:t>
      </w:r>
      <w:r>
        <w:rPr>
          <w:rFonts w:ascii="Arial" w:hAnsi="Arial"/>
          <w:b/>
          <w:kern w:val="0"/>
          <w:sz w:val="20"/>
          <w:szCs w:val="20"/>
        </w:rPr>
        <w:t>is</w:t>
      </w:r>
      <w:r w:rsidRPr="00EA7370">
        <w:rPr>
          <w:rFonts w:ascii="Arial" w:hAnsi="Arial"/>
          <w:b/>
          <w:kern w:val="0"/>
          <w:sz w:val="20"/>
          <w:szCs w:val="20"/>
        </w:rPr>
        <w:t xml:space="preserve"> performed upon reception of the candidate cells configuration</w:t>
      </w:r>
      <w:r>
        <w:rPr>
          <w:rFonts w:ascii="Arial" w:hAnsi="Arial"/>
          <w:b/>
          <w:kern w:val="0"/>
          <w:sz w:val="20"/>
          <w:szCs w:val="20"/>
        </w:rPr>
        <w:t>.</w:t>
      </w:r>
    </w:p>
    <w:p w14:paraId="48660C66" w14:textId="77777777" w:rsidR="003E16F6" w:rsidRPr="00914D9F"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4654B302" w14:textId="3C6BF728"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D7262C">
        <w:rPr>
          <w:rFonts w:ascii="Arial" w:eastAsia="Arial Unicode MS" w:hAnsi="Arial"/>
          <w:kern w:val="0"/>
          <w:sz w:val="20"/>
          <w:szCs w:val="20"/>
        </w:rPr>
        <w:t>RAN2#121, Chair notes</w:t>
      </w:r>
    </w:p>
    <w:p w14:paraId="3A642733" w14:textId="5327B885" w:rsidR="003E16F6" w:rsidRDefault="00E90724"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2] </w:t>
      </w:r>
      <w:r w:rsidRPr="00E90724">
        <w:rPr>
          <w:rFonts w:ascii="Arial" w:eastAsia="Arial Unicode MS" w:hAnsi="Arial"/>
          <w:kern w:val="0"/>
          <w:sz w:val="20"/>
          <w:szCs w:val="20"/>
        </w:rPr>
        <w:t>R2-2302290</w:t>
      </w:r>
      <w:r>
        <w:rPr>
          <w:rFonts w:ascii="Arial" w:eastAsia="Arial Unicode MS" w:hAnsi="Arial"/>
          <w:kern w:val="0"/>
          <w:sz w:val="20"/>
          <w:szCs w:val="20"/>
        </w:rPr>
        <w:t xml:space="preserve">, </w:t>
      </w:r>
      <w:r w:rsidRPr="00E90724">
        <w:rPr>
          <w:rFonts w:ascii="Arial" w:eastAsia="Arial Unicode MS" w:hAnsi="Arial"/>
          <w:kern w:val="0"/>
          <w:sz w:val="20"/>
          <w:szCs w:val="20"/>
        </w:rPr>
        <w:t>CB Offline 21 (former 22) Progress TP RRC for LTM</w:t>
      </w:r>
      <w:r>
        <w:rPr>
          <w:rFonts w:ascii="Arial" w:eastAsia="Arial Unicode MS" w:hAnsi="Arial"/>
          <w:kern w:val="0"/>
          <w:sz w:val="20"/>
          <w:szCs w:val="20"/>
        </w:rPr>
        <w:t xml:space="preserve">, Ericsson </w:t>
      </w:r>
    </w:p>
    <w:p w14:paraId="01171DA7" w14:textId="77777777" w:rsidR="00E90724" w:rsidRPr="002C6C08" w:rsidRDefault="00E90724" w:rsidP="003E16F6">
      <w:pPr>
        <w:widowControl/>
        <w:spacing w:line="240" w:lineRule="atLeast"/>
        <w:rPr>
          <w:rFonts w:ascii="Arial" w:eastAsia="Arial Unicode MS" w:hAnsi="Arial"/>
          <w:kern w:val="0"/>
          <w:sz w:val="20"/>
          <w:szCs w:val="20"/>
        </w:rPr>
      </w:pPr>
    </w:p>
    <w:p w14:paraId="1F183E18" w14:textId="77777777"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D9A13" w14:textId="77777777" w:rsidR="006623F4" w:rsidRDefault="006623F4" w:rsidP="005F4664">
      <w:r>
        <w:separator/>
      </w:r>
    </w:p>
  </w:endnote>
  <w:endnote w:type="continuationSeparator" w:id="0">
    <w:p w14:paraId="7A7CC7E0" w14:textId="77777777" w:rsidR="006623F4" w:rsidRDefault="006623F4"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A8A74" w14:textId="77777777" w:rsidR="006623F4" w:rsidRDefault="006623F4" w:rsidP="005F4664">
      <w:r>
        <w:separator/>
      </w:r>
    </w:p>
  </w:footnote>
  <w:footnote w:type="continuationSeparator" w:id="0">
    <w:p w14:paraId="139AABE7" w14:textId="77777777" w:rsidR="006623F4" w:rsidRDefault="006623F4"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2C2958"/>
    <w:multiLevelType w:val="hybridMultilevel"/>
    <w:tmpl w:val="BE76651A"/>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 w15:restartNumberingAfterBreak="0">
    <w:nsid w:val="7A87605A"/>
    <w:multiLevelType w:val="hybridMultilevel"/>
    <w:tmpl w:val="E31067AE"/>
    <w:lvl w:ilvl="0" w:tplc="C458DB9E">
      <w:start w:val="1"/>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19441556">
    <w:abstractNumId w:val="1"/>
  </w:num>
  <w:num w:numId="2" w16cid:durableId="528681803">
    <w:abstractNumId w:val="2"/>
  </w:num>
  <w:num w:numId="3" w16cid:durableId="1756243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64765"/>
    <w:rsid w:val="0006743E"/>
    <w:rsid w:val="000A024E"/>
    <w:rsid w:val="000C2D41"/>
    <w:rsid w:val="000C3227"/>
    <w:rsid w:val="000C4A4F"/>
    <w:rsid w:val="0010175C"/>
    <w:rsid w:val="0012151A"/>
    <w:rsid w:val="001310F8"/>
    <w:rsid w:val="00135F76"/>
    <w:rsid w:val="001504D8"/>
    <w:rsid w:val="001679AD"/>
    <w:rsid w:val="001C1521"/>
    <w:rsid w:val="001D6661"/>
    <w:rsid w:val="0028555E"/>
    <w:rsid w:val="00297E8B"/>
    <w:rsid w:val="002A7B1A"/>
    <w:rsid w:val="002D4F9E"/>
    <w:rsid w:val="002E4305"/>
    <w:rsid w:val="0031502F"/>
    <w:rsid w:val="00391CBE"/>
    <w:rsid w:val="003B06D9"/>
    <w:rsid w:val="003C391C"/>
    <w:rsid w:val="003C3BE8"/>
    <w:rsid w:val="003E16F6"/>
    <w:rsid w:val="004412BA"/>
    <w:rsid w:val="004623F9"/>
    <w:rsid w:val="00482B5F"/>
    <w:rsid w:val="00485574"/>
    <w:rsid w:val="004B7A7C"/>
    <w:rsid w:val="004C55F8"/>
    <w:rsid w:val="004D0B78"/>
    <w:rsid w:val="004F0F43"/>
    <w:rsid w:val="004F6BB1"/>
    <w:rsid w:val="0050025E"/>
    <w:rsid w:val="00502DD8"/>
    <w:rsid w:val="00533B08"/>
    <w:rsid w:val="00570738"/>
    <w:rsid w:val="005A1F14"/>
    <w:rsid w:val="005C769F"/>
    <w:rsid w:val="005E77E7"/>
    <w:rsid w:val="005F4664"/>
    <w:rsid w:val="006010B7"/>
    <w:rsid w:val="00617419"/>
    <w:rsid w:val="0064413F"/>
    <w:rsid w:val="006455F2"/>
    <w:rsid w:val="006518EF"/>
    <w:rsid w:val="006539A2"/>
    <w:rsid w:val="006623F4"/>
    <w:rsid w:val="00673319"/>
    <w:rsid w:val="006736E7"/>
    <w:rsid w:val="00697F60"/>
    <w:rsid w:val="006B2E48"/>
    <w:rsid w:val="006B722C"/>
    <w:rsid w:val="006F047F"/>
    <w:rsid w:val="006F1C23"/>
    <w:rsid w:val="00706A42"/>
    <w:rsid w:val="00717247"/>
    <w:rsid w:val="00781AF3"/>
    <w:rsid w:val="007C0139"/>
    <w:rsid w:val="007C42C0"/>
    <w:rsid w:val="007F6B8F"/>
    <w:rsid w:val="008072C3"/>
    <w:rsid w:val="00840E0C"/>
    <w:rsid w:val="00846007"/>
    <w:rsid w:val="00856533"/>
    <w:rsid w:val="0089277B"/>
    <w:rsid w:val="008A402F"/>
    <w:rsid w:val="008A53A6"/>
    <w:rsid w:val="008A65B6"/>
    <w:rsid w:val="008B0A68"/>
    <w:rsid w:val="008D66B3"/>
    <w:rsid w:val="008D6847"/>
    <w:rsid w:val="008D7675"/>
    <w:rsid w:val="008E769C"/>
    <w:rsid w:val="00905FA8"/>
    <w:rsid w:val="00914D9F"/>
    <w:rsid w:val="009255AE"/>
    <w:rsid w:val="0094697F"/>
    <w:rsid w:val="00963230"/>
    <w:rsid w:val="009668AF"/>
    <w:rsid w:val="0098563C"/>
    <w:rsid w:val="009A1470"/>
    <w:rsid w:val="009A406E"/>
    <w:rsid w:val="009C022B"/>
    <w:rsid w:val="009C6834"/>
    <w:rsid w:val="00A13A4F"/>
    <w:rsid w:val="00A1590D"/>
    <w:rsid w:val="00A5267B"/>
    <w:rsid w:val="00A76209"/>
    <w:rsid w:val="00A9058E"/>
    <w:rsid w:val="00AA2B16"/>
    <w:rsid w:val="00AB376C"/>
    <w:rsid w:val="00AF6AA2"/>
    <w:rsid w:val="00B25613"/>
    <w:rsid w:val="00B26B13"/>
    <w:rsid w:val="00B36DAB"/>
    <w:rsid w:val="00B45828"/>
    <w:rsid w:val="00B609F2"/>
    <w:rsid w:val="00B86207"/>
    <w:rsid w:val="00B9710E"/>
    <w:rsid w:val="00BF06BC"/>
    <w:rsid w:val="00C05DB2"/>
    <w:rsid w:val="00C0670F"/>
    <w:rsid w:val="00C148D6"/>
    <w:rsid w:val="00C2058B"/>
    <w:rsid w:val="00C708C3"/>
    <w:rsid w:val="00CA66C2"/>
    <w:rsid w:val="00CB78B0"/>
    <w:rsid w:val="00D2100E"/>
    <w:rsid w:val="00D5461D"/>
    <w:rsid w:val="00D560FE"/>
    <w:rsid w:val="00D723C1"/>
    <w:rsid w:val="00D7262C"/>
    <w:rsid w:val="00D73C31"/>
    <w:rsid w:val="00D80CE3"/>
    <w:rsid w:val="00D8258F"/>
    <w:rsid w:val="00DA5548"/>
    <w:rsid w:val="00E32A9C"/>
    <w:rsid w:val="00E47BF8"/>
    <w:rsid w:val="00E53357"/>
    <w:rsid w:val="00E625B2"/>
    <w:rsid w:val="00E864B6"/>
    <w:rsid w:val="00E90724"/>
    <w:rsid w:val="00EA2016"/>
    <w:rsid w:val="00EB0333"/>
    <w:rsid w:val="00EB3620"/>
    <w:rsid w:val="00EB5ADA"/>
    <w:rsid w:val="00EC0C24"/>
    <w:rsid w:val="00EC27AD"/>
    <w:rsid w:val="00EE18D2"/>
    <w:rsid w:val="00EF1D5E"/>
    <w:rsid w:val="00F07413"/>
    <w:rsid w:val="00F455D1"/>
    <w:rsid w:val="00F83DC7"/>
    <w:rsid w:val="00FA3970"/>
    <w:rsid w:val="00FC1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table" w:styleId="aa">
    <w:name w:val="Table Grid"/>
    <w:basedOn w:val="a1"/>
    <w:uiPriority w:val="39"/>
    <w:rsid w:val="005707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70738"/>
    <w:pPr>
      <w:widowControl/>
      <w:numPr>
        <w:numId w:val="1"/>
      </w:numPr>
      <w:spacing w:before="60"/>
      <w:jc w:val="left"/>
    </w:pPr>
    <w:rPr>
      <w:rFonts w:ascii="Arial" w:eastAsia="ＭＳ 明朝" w:hAnsi="Arial" w:cs="Times New Roman"/>
      <w:b/>
      <w:kern w:val="0"/>
      <w:sz w:val="20"/>
      <w:szCs w:val="24"/>
      <w:lang w:eastAsia="en-GB"/>
    </w:rPr>
  </w:style>
  <w:style w:type="paragraph" w:styleId="ab">
    <w:name w:val="List Paragraph"/>
    <w:basedOn w:val="a"/>
    <w:uiPriority w:val="34"/>
    <w:qFormat/>
    <w:rsid w:val="00A1590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3</Pages>
  <Words>1053</Words>
  <Characters>6005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108</cp:revision>
  <dcterms:created xsi:type="dcterms:W3CDTF">2019-04-30T06:30:00Z</dcterms:created>
  <dcterms:modified xsi:type="dcterms:W3CDTF">2023-04-07T05:28:00Z</dcterms:modified>
</cp:coreProperties>
</file>